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4183" w14:textId="77777777" w:rsidR="00C536CD" w:rsidRPr="00C43DB5" w:rsidRDefault="00255765" w:rsidP="00695F81">
      <w:pPr>
        <w:jc w:val="center"/>
        <w:rPr>
          <w:rFonts w:asciiTheme="minorHAnsi" w:hAnsiTheme="minorHAnsi" w:cstheme="minorHAnsi"/>
          <w:b/>
        </w:rPr>
      </w:pPr>
      <w:r w:rsidRPr="00C43DB5">
        <w:rPr>
          <w:rFonts w:asciiTheme="minorHAnsi" w:hAnsiTheme="minorHAnsi" w:cstheme="minorHAnsi"/>
          <w:b/>
        </w:rPr>
        <w:t>Proposta di nuova struttura per il TOLC-S</w:t>
      </w:r>
    </w:p>
    <w:p w14:paraId="7D5597CB" w14:textId="013E0720" w:rsidR="00C536CD" w:rsidRPr="00C43DB5" w:rsidRDefault="00695F81" w:rsidP="00695F81">
      <w:pPr>
        <w:jc w:val="center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Discussa </w:t>
      </w:r>
      <w:r w:rsidR="00DE55C7" w:rsidRPr="00C43DB5">
        <w:rPr>
          <w:rFonts w:asciiTheme="minorHAnsi" w:hAnsiTheme="minorHAnsi" w:cstheme="minorHAnsi"/>
        </w:rPr>
        <w:t xml:space="preserve">dalla Commissione nella riunione del </w:t>
      </w:r>
      <w:proofErr w:type="gramStart"/>
      <w:r w:rsidR="00DE55C7" w:rsidRPr="00C43DB5">
        <w:rPr>
          <w:rFonts w:asciiTheme="minorHAnsi" w:hAnsiTheme="minorHAnsi" w:cstheme="minorHAnsi"/>
        </w:rPr>
        <w:t>1 luglio</w:t>
      </w:r>
      <w:proofErr w:type="gramEnd"/>
      <w:r w:rsidR="00DE55C7" w:rsidRPr="00C43DB5">
        <w:rPr>
          <w:rFonts w:asciiTheme="minorHAnsi" w:hAnsiTheme="minorHAnsi" w:cstheme="minorHAnsi"/>
        </w:rPr>
        <w:t xml:space="preserve"> 2022</w:t>
      </w:r>
    </w:p>
    <w:p w14:paraId="385C15B6" w14:textId="77777777" w:rsidR="00695F81" w:rsidRPr="00C43DB5" w:rsidRDefault="00695F81">
      <w:pPr>
        <w:spacing w:before="60"/>
        <w:jc w:val="both"/>
        <w:rPr>
          <w:rFonts w:asciiTheme="minorHAnsi" w:hAnsiTheme="minorHAnsi" w:cstheme="minorHAnsi"/>
        </w:rPr>
      </w:pPr>
    </w:p>
    <w:p w14:paraId="26B0B15F" w14:textId="7681A91B" w:rsidR="00273770" w:rsidRPr="00C43DB5" w:rsidRDefault="00DE55C7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Nella riunione del </w:t>
      </w:r>
      <w:proofErr w:type="gramStart"/>
      <w:r w:rsidRPr="00C43DB5">
        <w:rPr>
          <w:rFonts w:asciiTheme="minorHAnsi" w:hAnsiTheme="minorHAnsi" w:cstheme="minorHAnsi"/>
        </w:rPr>
        <w:t>1 luglio</w:t>
      </w:r>
      <w:proofErr w:type="gramEnd"/>
      <w:r w:rsidRPr="00C43DB5">
        <w:rPr>
          <w:rFonts w:asciiTheme="minorHAnsi" w:hAnsiTheme="minorHAnsi" w:cstheme="minorHAnsi"/>
        </w:rPr>
        <w:t xml:space="preserve"> la Commissione Test d’accesso, sulla base di una prima discussione avuta dai prof. Anzellotti, Lombardo e Mobilio con il CISIA relativamente alla</w:t>
      </w:r>
      <w:r w:rsidR="00273770" w:rsidRPr="00C43DB5">
        <w:rPr>
          <w:rFonts w:asciiTheme="minorHAnsi" w:hAnsiTheme="minorHAnsi" w:cstheme="minorHAnsi"/>
        </w:rPr>
        <w:t xml:space="preserve"> revisione della struttura del TOLC-S ha rivisto la proposta elaborata nella riunione del 1 marzo e discussa </w:t>
      </w:r>
      <w:r w:rsidR="00850EE5" w:rsidRPr="00C43DB5">
        <w:rPr>
          <w:rFonts w:asciiTheme="minorHAnsi" w:hAnsiTheme="minorHAnsi" w:cstheme="minorHAnsi"/>
        </w:rPr>
        <w:t xml:space="preserve">nel </w:t>
      </w:r>
      <w:r w:rsidR="00273770" w:rsidRPr="00C43DB5">
        <w:rPr>
          <w:rFonts w:asciiTheme="minorHAnsi" w:hAnsiTheme="minorHAnsi" w:cstheme="minorHAnsi"/>
        </w:rPr>
        <w:t xml:space="preserve">Consiglio Direttivo del </w:t>
      </w:r>
      <w:r w:rsidR="00AE2842" w:rsidRPr="00C43DB5">
        <w:rPr>
          <w:rFonts w:asciiTheme="minorHAnsi" w:hAnsiTheme="minorHAnsi" w:cstheme="minorHAnsi"/>
        </w:rPr>
        <w:t>17 marzo 2022.</w:t>
      </w:r>
    </w:p>
    <w:p w14:paraId="02E78478" w14:textId="77777777" w:rsidR="00AE2842" w:rsidRPr="00C43DB5" w:rsidRDefault="00AE2842">
      <w:pPr>
        <w:spacing w:before="60"/>
        <w:jc w:val="both"/>
        <w:rPr>
          <w:rFonts w:asciiTheme="minorHAnsi" w:hAnsiTheme="minorHAnsi" w:cstheme="minorHAnsi"/>
        </w:rPr>
      </w:pPr>
    </w:p>
    <w:p w14:paraId="49CA544B" w14:textId="169C3D47" w:rsidR="00273770" w:rsidRPr="00C43DB5" w:rsidRDefault="00273770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Le motivazioni principali che richiedono una revisione del TOLC-S sono:</w:t>
      </w:r>
    </w:p>
    <w:p w14:paraId="1F183E43" w14:textId="13376B8B" w:rsidR="00273770" w:rsidRPr="00C43DB5" w:rsidRDefault="00C43DB5" w:rsidP="00AE2842">
      <w:pPr>
        <w:pStyle w:val="Paragrafoelenco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a</w:t>
      </w:r>
      <w:r w:rsidR="00273770" w:rsidRPr="00C43DB5">
        <w:rPr>
          <w:rFonts w:asciiTheme="minorHAnsi" w:hAnsiTheme="minorHAnsi" w:cstheme="minorHAnsi"/>
        </w:rPr>
        <w:t>lcun</w:t>
      </w:r>
      <w:r w:rsidR="00DF0DF0" w:rsidRPr="00C43DB5">
        <w:rPr>
          <w:rFonts w:asciiTheme="minorHAnsi" w:hAnsiTheme="minorHAnsi" w:cstheme="minorHAnsi"/>
        </w:rPr>
        <w:t>i</w:t>
      </w:r>
      <w:r w:rsidRPr="00C43DB5">
        <w:rPr>
          <w:rFonts w:asciiTheme="minorHAnsi" w:hAnsiTheme="minorHAnsi" w:cstheme="minorHAnsi"/>
        </w:rPr>
        <w:t xml:space="preserve"> </w:t>
      </w:r>
      <w:r w:rsidR="00255765" w:rsidRPr="00C43DB5">
        <w:rPr>
          <w:rFonts w:asciiTheme="minorHAnsi" w:hAnsiTheme="minorHAnsi" w:cstheme="minorHAnsi"/>
        </w:rPr>
        <w:t>corsi di laurea dell’area scientifica, specialmente quelli della classe L-32 Scienze e Tecnologie per l’Ambiente e la Natura, ritengono che il TOLC-S non risponda completamente alle loro esigenze, in particolare poiché la prova non comprende quesiti di biologia</w:t>
      </w:r>
      <w:r w:rsidR="00273770" w:rsidRPr="00C43DB5">
        <w:rPr>
          <w:rFonts w:asciiTheme="minorHAnsi" w:hAnsiTheme="minorHAnsi" w:cstheme="minorHAnsi"/>
        </w:rPr>
        <w:t>;</w:t>
      </w:r>
    </w:p>
    <w:p w14:paraId="4A788119" w14:textId="2F47AE28" w:rsidR="00DF0DF0" w:rsidRPr="00C43DB5" w:rsidRDefault="00DF0DF0" w:rsidP="004528A1">
      <w:pPr>
        <w:pStyle w:val="Paragrafoelenco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l’attuale modulo di </w:t>
      </w:r>
      <w:r w:rsidRPr="00C43DB5">
        <w:rPr>
          <w:rFonts w:asciiTheme="minorHAnsi" w:hAnsiTheme="minorHAnsi" w:cstheme="minorHAnsi"/>
          <w:i/>
          <w:iCs/>
        </w:rPr>
        <w:t>Scienze</w:t>
      </w:r>
      <w:r w:rsidR="004528A1" w:rsidRPr="00C43DB5">
        <w:rPr>
          <w:rFonts w:asciiTheme="minorHAnsi" w:hAnsiTheme="minorHAnsi" w:cstheme="minorHAnsi"/>
          <w:i/>
          <w:iCs/>
        </w:rPr>
        <w:t xml:space="preserve"> di base</w:t>
      </w:r>
      <w:r w:rsidRPr="00C43DB5">
        <w:rPr>
          <w:rFonts w:asciiTheme="minorHAnsi" w:hAnsiTheme="minorHAnsi" w:cstheme="minorHAnsi"/>
        </w:rPr>
        <w:t xml:space="preserve"> di sole </w:t>
      </w:r>
      <w:proofErr w:type="gramStart"/>
      <w:r w:rsidRPr="00C43DB5">
        <w:rPr>
          <w:rFonts w:asciiTheme="minorHAnsi" w:hAnsiTheme="minorHAnsi" w:cstheme="minorHAnsi"/>
        </w:rPr>
        <w:t>10</w:t>
      </w:r>
      <w:proofErr w:type="gramEnd"/>
      <w:r w:rsidRPr="00C43DB5">
        <w:rPr>
          <w:rFonts w:asciiTheme="minorHAnsi" w:hAnsiTheme="minorHAnsi" w:cstheme="minorHAnsi"/>
        </w:rPr>
        <w:t xml:space="preserve"> domande complessive su Fisica, Chimica e Scienze della Terra già non è adeguato a verificare le conoscenze/competenze degli studenti sulle tre discipline e non è quindi pensabile di aggiungere anche la Biologia;</w:t>
      </w:r>
    </w:p>
    <w:p w14:paraId="7B701A0F" w14:textId="28BBCC31" w:rsidR="00273770" w:rsidRPr="00C43DB5" w:rsidRDefault="00B9633F" w:rsidP="00AE2842">
      <w:pPr>
        <w:pStyle w:val="Paragrafoelenco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d</w:t>
      </w:r>
      <w:r w:rsidR="004528A1" w:rsidRPr="00C43DB5">
        <w:rPr>
          <w:rFonts w:asciiTheme="minorHAnsi" w:hAnsiTheme="minorHAnsi" w:cstheme="minorHAnsi"/>
        </w:rPr>
        <w:t xml:space="preserve">iversi </w:t>
      </w:r>
      <w:r w:rsidR="00273770" w:rsidRPr="00C43DB5">
        <w:rPr>
          <w:rFonts w:asciiTheme="minorHAnsi" w:hAnsiTheme="minorHAnsi" w:cstheme="minorHAnsi"/>
        </w:rPr>
        <w:t>altr</w:t>
      </w:r>
      <w:r w:rsidR="00DF0DF0" w:rsidRPr="00C43DB5">
        <w:rPr>
          <w:rFonts w:asciiTheme="minorHAnsi" w:hAnsiTheme="minorHAnsi" w:cstheme="minorHAnsi"/>
        </w:rPr>
        <w:t>i corsi di laurea</w:t>
      </w:r>
      <w:r w:rsidR="00C43DB5" w:rsidRPr="00C43DB5">
        <w:rPr>
          <w:rFonts w:asciiTheme="minorHAnsi" w:hAnsiTheme="minorHAnsi" w:cstheme="minorHAnsi"/>
        </w:rPr>
        <w:t xml:space="preserve"> </w:t>
      </w:r>
      <w:r w:rsidR="00DF0DF0" w:rsidRPr="00C43DB5">
        <w:rPr>
          <w:rFonts w:asciiTheme="minorHAnsi" w:hAnsiTheme="minorHAnsi" w:cstheme="minorHAnsi"/>
        </w:rPr>
        <w:t xml:space="preserve">vorrebbero </w:t>
      </w:r>
      <w:r w:rsidR="00273770" w:rsidRPr="00C43DB5">
        <w:rPr>
          <w:rFonts w:asciiTheme="minorHAnsi" w:hAnsiTheme="minorHAnsi" w:cstheme="minorHAnsi"/>
        </w:rPr>
        <w:t xml:space="preserve">una prova più flessibile, che </w:t>
      </w:r>
      <w:r w:rsidR="004528A1" w:rsidRPr="00C43DB5">
        <w:rPr>
          <w:rFonts w:asciiTheme="minorHAnsi" w:hAnsiTheme="minorHAnsi" w:cstheme="minorHAnsi"/>
        </w:rPr>
        <w:t>sia</w:t>
      </w:r>
      <w:r w:rsidR="00DF0DF0" w:rsidRPr="00C43DB5">
        <w:rPr>
          <w:rFonts w:asciiTheme="minorHAnsi" w:hAnsiTheme="minorHAnsi" w:cstheme="minorHAnsi"/>
        </w:rPr>
        <w:t xml:space="preserve"> utilizza</w:t>
      </w:r>
      <w:r w:rsidR="004528A1" w:rsidRPr="00C43DB5">
        <w:rPr>
          <w:rFonts w:asciiTheme="minorHAnsi" w:hAnsiTheme="minorHAnsi" w:cstheme="minorHAnsi"/>
        </w:rPr>
        <w:t>bile</w:t>
      </w:r>
      <w:r w:rsidR="00DF0DF0" w:rsidRPr="00C43DB5">
        <w:rPr>
          <w:rFonts w:asciiTheme="minorHAnsi" w:hAnsiTheme="minorHAnsi" w:cstheme="minorHAnsi"/>
        </w:rPr>
        <w:t xml:space="preserve"> per soddisfare</w:t>
      </w:r>
      <w:r w:rsidR="00C43DB5" w:rsidRPr="00C43DB5">
        <w:rPr>
          <w:rFonts w:asciiTheme="minorHAnsi" w:hAnsiTheme="minorHAnsi" w:cstheme="minorHAnsi"/>
        </w:rPr>
        <w:t xml:space="preserve"> </w:t>
      </w:r>
      <w:r w:rsidR="00273770" w:rsidRPr="00C43DB5">
        <w:rPr>
          <w:rFonts w:asciiTheme="minorHAnsi" w:hAnsiTheme="minorHAnsi" w:cstheme="minorHAnsi"/>
        </w:rPr>
        <w:t>le esigenze molto variegat</w:t>
      </w:r>
      <w:r w:rsidR="00DF0DF0" w:rsidRPr="00C43DB5">
        <w:rPr>
          <w:rFonts w:asciiTheme="minorHAnsi" w:hAnsiTheme="minorHAnsi" w:cstheme="minorHAnsi"/>
        </w:rPr>
        <w:t>e</w:t>
      </w:r>
      <w:r w:rsidR="00273770" w:rsidRPr="00C43DB5">
        <w:rPr>
          <w:rFonts w:asciiTheme="minorHAnsi" w:hAnsiTheme="minorHAnsi" w:cstheme="minorHAnsi"/>
        </w:rPr>
        <w:t xml:space="preserve"> de</w:t>
      </w:r>
      <w:r w:rsidR="00DF0DF0" w:rsidRPr="00C43DB5">
        <w:rPr>
          <w:rFonts w:asciiTheme="minorHAnsi" w:hAnsiTheme="minorHAnsi" w:cstheme="minorHAnsi"/>
        </w:rPr>
        <w:t>lle diverse tipologie di</w:t>
      </w:r>
      <w:r w:rsidR="00273770" w:rsidRPr="00C43DB5">
        <w:rPr>
          <w:rFonts w:asciiTheme="minorHAnsi" w:hAnsiTheme="minorHAnsi" w:cstheme="minorHAnsi"/>
        </w:rPr>
        <w:t xml:space="preserve"> corsi di studio;</w:t>
      </w:r>
    </w:p>
    <w:p w14:paraId="6D9032D7" w14:textId="25040ABF" w:rsidR="00AE2842" w:rsidRPr="00C43DB5" w:rsidRDefault="00AE2842" w:rsidP="00AE2842">
      <w:pPr>
        <w:pStyle w:val="Paragrafoelenco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l’attuale modulo di Comprensione del Test</w:t>
      </w:r>
      <w:r w:rsidR="00850EE5" w:rsidRPr="00C43DB5">
        <w:rPr>
          <w:rFonts w:asciiTheme="minorHAnsi" w:hAnsiTheme="minorHAnsi" w:cstheme="minorHAnsi"/>
        </w:rPr>
        <w:t>o</w:t>
      </w:r>
      <w:r w:rsidRPr="00C43DB5">
        <w:rPr>
          <w:rFonts w:asciiTheme="minorHAnsi" w:hAnsiTheme="minorHAnsi" w:cstheme="minorHAnsi"/>
        </w:rPr>
        <w:t xml:space="preserve"> presenta</w:t>
      </w:r>
      <w:r w:rsidR="008F3C65" w:rsidRPr="00C43DB5">
        <w:rPr>
          <w:rFonts w:asciiTheme="minorHAnsi" w:hAnsiTheme="minorHAnsi" w:cstheme="minorHAnsi"/>
        </w:rPr>
        <w:t xml:space="preserve"> alcune criticità</w:t>
      </w:r>
      <w:r w:rsidRPr="00C43DB5">
        <w:rPr>
          <w:rFonts w:asciiTheme="minorHAnsi" w:hAnsiTheme="minorHAnsi" w:cstheme="minorHAnsi"/>
        </w:rPr>
        <w:t xml:space="preserve"> </w:t>
      </w:r>
      <w:r w:rsidR="008F3C65" w:rsidRPr="00C43DB5">
        <w:rPr>
          <w:rFonts w:asciiTheme="minorHAnsi" w:hAnsiTheme="minorHAnsi" w:cstheme="minorHAnsi"/>
        </w:rPr>
        <w:t xml:space="preserve">relative in particolare ai </w:t>
      </w:r>
      <w:r w:rsidRPr="00C43DB5">
        <w:rPr>
          <w:rFonts w:asciiTheme="minorHAnsi" w:hAnsiTheme="minorHAnsi" w:cstheme="minorHAnsi"/>
        </w:rPr>
        <w:t>cinque quesiti che vertono su un unico brano</w:t>
      </w:r>
      <w:r w:rsidR="00F80A59" w:rsidRPr="00C43DB5">
        <w:rPr>
          <w:rFonts w:asciiTheme="minorHAnsi" w:hAnsiTheme="minorHAnsi" w:cstheme="minorHAnsi"/>
        </w:rPr>
        <w:t>.</w:t>
      </w:r>
    </w:p>
    <w:p w14:paraId="7EE25025" w14:textId="77777777" w:rsidR="00273770" w:rsidRPr="00C43DB5" w:rsidRDefault="00273770">
      <w:pPr>
        <w:spacing w:before="60"/>
        <w:jc w:val="both"/>
        <w:rPr>
          <w:rFonts w:asciiTheme="minorHAnsi" w:hAnsiTheme="minorHAnsi" w:cstheme="minorHAnsi"/>
        </w:rPr>
      </w:pPr>
    </w:p>
    <w:p w14:paraId="0607DD72" w14:textId="70107C62" w:rsidR="00F80A59" w:rsidRPr="00C43DB5" w:rsidRDefault="00F80A59" w:rsidP="00F80A5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La proposta elaborata a marzo </w:t>
      </w:r>
      <w:r w:rsidR="008F3C65" w:rsidRPr="00C43DB5">
        <w:rPr>
          <w:rFonts w:asciiTheme="minorHAnsi" w:hAnsiTheme="minorHAnsi" w:cstheme="minorHAnsi"/>
        </w:rPr>
        <w:t>di modifica della</w:t>
      </w:r>
      <w:r w:rsidRPr="00C43DB5">
        <w:rPr>
          <w:rFonts w:asciiTheme="minorHAnsi" w:hAnsiTheme="minorHAnsi" w:cstheme="minorHAnsi"/>
        </w:rPr>
        <w:t xml:space="preserve"> struttura del TOLC-S era basata su </w:t>
      </w:r>
      <w:r w:rsidR="00D846D8" w:rsidRPr="00C43DB5">
        <w:rPr>
          <w:rFonts w:asciiTheme="minorHAnsi" w:hAnsiTheme="minorHAnsi" w:cstheme="minorHAnsi"/>
        </w:rPr>
        <w:t>tre</w:t>
      </w:r>
      <w:r w:rsidRPr="00C43DB5">
        <w:rPr>
          <w:rFonts w:asciiTheme="minorHAnsi" w:hAnsiTheme="minorHAnsi" w:cstheme="minorHAnsi"/>
        </w:rPr>
        <w:t xml:space="preserve"> idee. </w:t>
      </w:r>
    </w:p>
    <w:p w14:paraId="76C707EC" w14:textId="7EAEB075" w:rsidR="00F80A59" w:rsidRPr="00C43DB5" w:rsidRDefault="00F80A59" w:rsidP="00F80A5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La prima idea era quella della </w:t>
      </w:r>
      <w:r w:rsidRPr="00C43DB5">
        <w:rPr>
          <w:rFonts w:asciiTheme="minorHAnsi" w:hAnsiTheme="minorHAnsi" w:cstheme="minorHAnsi"/>
          <w:i/>
        </w:rPr>
        <w:t>modularità</w:t>
      </w:r>
      <w:r w:rsidRPr="00C43DB5">
        <w:rPr>
          <w:rFonts w:asciiTheme="minorHAnsi" w:hAnsiTheme="minorHAnsi" w:cstheme="minorHAnsi"/>
        </w:rPr>
        <w:t>, ossia di avere una sezione Scienze di base costituita da quattro moduli, uno per ciascuna delle aree scientifiche, ciascuno di cinque quesiti. Si propone</w:t>
      </w:r>
      <w:r w:rsidR="00841AE0" w:rsidRPr="00C43DB5">
        <w:rPr>
          <w:rFonts w:asciiTheme="minorHAnsi" w:hAnsiTheme="minorHAnsi" w:cstheme="minorHAnsi"/>
        </w:rPr>
        <w:t>va</w:t>
      </w:r>
      <w:r w:rsidRPr="00C43DB5">
        <w:rPr>
          <w:rFonts w:asciiTheme="minorHAnsi" w:hAnsiTheme="minorHAnsi" w:cstheme="minorHAnsi"/>
        </w:rPr>
        <w:t xml:space="preserve"> che di tali moduli, in qualche fase dell’iscrizione o della somministrazione, ogni studente </w:t>
      </w:r>
      <w:r w:rsidR="00841AE0" w:rsidRPr="00C43DB5">
        <w:rPr>
          <w:rFonts w:asciiTheme="minorHAnsi" w:hAnsiTheme="minorHAnsi" w:cstheme="minorHAnsi"/>
        </w:rPr>
        <w:t>potesse</w:t>
      </w:r>
      <w:r w:rsidRPr="00C43DB5">
        <w:rPr>
          <w:rFonts w:asciiTheme="minorHAnsi" w:hAnsiTheme="minorHAnsi" w:cstheme="minorHAnsi"/>
        </w:rPr>
        <w:t xml:space="preserve"> sceglierne tre, a seconda delle richieste che saranno state indicate dai corsi di laurea ai quali lo studente è interessato. </w:t>
      </w:r>
    </w:p>
    <w:p w14:paraId="6722B9E0" w14:textId="4E1A5F36" w:rsidR="00273770" w:rsidRPr="00C43DB5" w:rsidRDefault="00F80A59" w:rsidP="00F80A5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La seconda idea </w:t>
      </w:r>
      <w:r w:rsidR="00DE3886" w:rsidRPr="00C43DB5">
        <w:rPr>
          <w:rFonts w:asciiTheme="minorHAnsi" w:hAnsiTheme="minorHAnsi" w:cstheme="minorHAnsi"/>
        </w:rPr>
        <w:t>era</w:t>
      </w:r>
      <w:r w:rsidRPr="00C43DB5">
        <w:rPr>
          <w:rFonts w:asciiTheme="minorHAnsi" w:hAnsiTheme="minorHAnsi" w:cstheme="minorHAnsi"/>
        </w:rPr>
        <w:t xml:space="preserve"> di </w:t>
      </w:r>
      <w:r w:rsidR="00DE3886" w:rsidRPr="00C43DB5">
        <w:rPr>
          <w:rFonts w:asciiTheme="minorHAnsi" w:hAnsiTheme="minorHAnsi" w:cstheme="minorHAnsi"/>
        </w:rPr>
        <w:t>introdurre</w:t>
      </w:r>
      <w:r w:rsidRPr="00C43DB5">
        <w:rPr>
          <w:rFonts w:asciiTheme="minorHAnsi" w:hAnsiTheme="minorHAnsi" w:cstheme="minorHAnsi"/>
        </w:rPr>
        <w:t xml:space="preserve"> una sezione di </w:t>
      </w:r>
      <w:r w:rsidRPr="00C43DB5">
        <w:rPr>
          <w:rFonts w:asciiTheme="minorHAnsi" w:hAnsiTheme="minorHAnsi" w:cstheme="minorHAnsi"/>
          <w:i/>
        </w:rPr>
        <w:t xml:space="preserve">Ragionamento, problemi e comprensione del testo </w:t>
      </w:r>
      <w:r w:rsidRPr="00C43DB5">
        <w:rPr>
          <w:rFonts w:asciiTheme="minorHAnsi" w:hAnsiTheme="minorHAnsi" w:cstheme="minorHAnsi"/>
        </w:rPr>
        <w:t xml:space="preserve">costituita da quindici quesiti, al posto delle due sezioni attualmente presenti di </w:t>
      </w:r>
      <w:r w:rsidRPr="00C43DB5">
        <w:rPr>
          <w:rFonts w:asciiTheme="minorHAnsi" w:hAnsiTheme="minorHAnsi" w:cstheme="minorHAnsi"/>
          <w:i/>
        </w:rPr>
        <w:t>Ragionamento e problemi</w:t>
      </w:r>
      <w:r w:rsidRPr="00C43DB5">
        <w:rPr>
          <w:rFonts w:asciiTheme="minorHAnsi" w:hAnsiTheme="minorHAnsi" w:cstheme="minorHAnsi"/>
        </w:rPr>
        <w:t xml:space="preserve"> e </w:t>
      </w:r>
      <w:r w:rsidRPr="00C43DB5">
        <w:rPr>
          <w:rFonts w:asciiTheme="minorHAnsi" w:hAnsiTheme="minorHAnsi" w:cstheme="minorHAnsi"/>
          <w:i/>
        </w:rPr>
        <w:t>Comprensione del testo</w:t>
      </w:r>
      <w:r w:rsidRPr="00C43DB5">
        <w:rPr>
          <w:rFonts w:asciiTheme="minorHAnsi" w:hAnsiTheme="minorHAnsi" w:cstheme="minorHAnsi"/>
        </w:rPr>
        <w:t>, complessivamente costituite da venti quesiti</w:t>
      </w:r>
      <w:r w:rsidR="00841AE0" w:rsidRPr="00C43DB5">
        <w:rPr>
          <w:rFonts w:asciiTheme="minorHAnsi" w:hAnsiTheme="minorHAnsi" w:cstheme="minorHAnsi"/>
        </w:rPr>
        <w:t>, con l’idea di eliminare i cinque quesiti di Comprensione del testo che presentano criticità</w:t>
      </w:r>
      <w:r w:rsidR="004528A1" w:rsidRPr="00C43DB5">
        <w:rPr>
          <w:rFonts w:asciiTheme="minorHAnsi" w:hAnsiTheme="minorHAnsi" w:cstheme="minorHAnsi"/>
        </w:rPr>
        <w:t xml:space="preserve"> e di raccogliere in un quadro unitario le conoscenze e capacità in oggetto</w:t>
      </w:r>
    </w:p>
    <w:p w14:paraId="2A9F2B72" w14:textId="1B849C8B" w:rsidR="00C536CD" w:rsidRPr="00C43DB5" w:rsidRDefault="00D846D8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La terza era</w:t>
      </w:r>
      <w:r w:rsidR="00255765" w:rsidRPr="00C43DB5">
        <w:rPr>
          <w:rFonts w:asciiTheme="minorHAnsi" w:hAnsiTheme="minorHAnsi" w:cstheme="minorHAnsi"/>
        </w:rPr>
        <w:t xml:space="preserve"> di non allungare la durata della prova e quindi di non aumentare il numero totale dei quesiti</w:t>
      </w:r>
      <w:r w:rsidR="0082206E" w:rsidRPr="00C43DB5">
        <w:rPr>
          <w:rFonts w:asciiTheme="minorHAnsi" w:hAnsiTheme="minorHAnsi" w:cstheme="minorHAnsi"/>
        </w:rPr>
        <w:t>, principalmente per motivi organizzativi.</w:t>
      </w:r>
    </w:p>
    <w:p w14:paraId="0AFD6CF8" w14:textId="77777777" w:rsidR="00D846D8" w:rsidRPr="00C43DB5" w:rsidRDefault="00D846D8">
      <w:pPr>
        <w:spacing w:before="60"/>
        <w:jc w:val="both"/>
        <w:rPr>
          <w:rFonts w:asciiTheme="minorHAnsi" w:hAnsiTheme="minorHAnsi" w:cstheme="minorHAnsi"/>
        </w:rPr>
      </w:pPr>
    </w:p>
    <w:p w14:paraId="3CF74917" w14:textId="4D98C2CB" w:rsidR="0082206E" w:rsidRPr="00C43DB5" w:rsidRDefault="00D846D8" w:rsidP="00850EE5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Nell’incontro con il CISIA </w:t>
      </w:r>
      <w:r w:rsidR="00850EE5" w:rsidRPr="00C43DB5">
        <w:rPr>
          <w:rFonts w:asciiTheme="minorHAnsi" w:hAnsiTheme="minorHAnsi" w:cstheme="minorHAnsi"/>
        </w:rPr>
        <w:t xml:space="preserve">sopra </w:t>
      </w:r>
      <w:r w:rsidRPr="00C43DB5">
        <w:rPr>
          <w:rFonts w:asciiTheme="minorHAnsi" w:hAnsiTheme="minorHAnsi" w:cstheme="minorHAnsi"/>
        </w:rPr>
        <w:t>indicato</w:t>
      </w:r>
      <w:r w:rsidR="00850EE5" w:rsidRPr="00C43DB5">
        <w:rPr>
          <w:rFonts w:asciiTheme="minorHAnsi" w:hAnsiTheme="minorHAnsi" w:cstheme="minorHAnsi"/>
        </w:rPr>
        <w:t xml:space="preserve"> è emerso che</w:t>
      </w:r>
      <w:r w:rsidRPr="00C43DB5">
        <w:rPr>
          <w:rFonts w:asciiTheme="minorHAnsi" w:hAnsiTheme="minorHAnsi" w:cstheme="minorHAnsi"/>
        </w:rPr>
        <w:t xml:space="preserve"> </w:t>
      </w:r>
      <w:r w:rsidR="0082206E" w:rsidRPr="00C43DB5">
        <w:rPr>
          <w:rFonts w:asciiTheme="minorHAnsi" w:hAnsiTheme="minorHAnsi" w:cstheme="minorHAnsi"/>
        </w:rPr>
        <w:t>i motivi organizzativi che suggerivano di non aumentare il numero di quesiti possono considerarsi superati</w:t>
      </w:r>
      <w:r w:rsidR="00850EE5" w:rsidRPr="00C43DB5">
        <w:rPr>
          <w:rFonts w:asciiTheme="minorHAnsi" w:hAnsiTheme="minorHAnsi" w:cstheme="minorHAnsi"/>
        </w:rPr>
        <w:t>, purché l’aumento sia piccolo</w:t>
      </w:r>
      <w:r w:rsidR="0082206E" w:rsidRPr="00C43DB5">
        <w:rPr>
          <w:rFonts w:asciiTheme="minorHAnsi" w:hAnsiTheme="minorHAnsi" w:cstheme="minorHAnsi"/>
        </w:rPr>
        <w:t>.</w:t>
      </w:r>
    </w:p>
    <w:p w14:paraId="6434655F" w14:textId="4921DE21" w:rsidR="0082206E" w:rsidRPr="00C43DB5" w:rsidRDefault="0082206E" w:rsidP="00D846D8">
      <w:pPr>
        <w:spacing w:before="60"/>
        <w:jc w:val="both"/>
        <w:rPr>
          <w:rFonts w:asciiTheme="minorHAnsi" w:hAnsiTheme="minorHAnsi" w:cstheme="minorHAnsi"/>
        </w:rPr>
      </w:pPr>
    </w:p>
    <w:p w14:paraId="17A39E62" w14:textId="30122B1E" w:rsidR="00360F0F" w:rsidRPr="00C43DB5" w:rsidRDefault="0082206E" w:rsidP="00360F0F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Alla luce di questo </w:t>
      </w:r>
      <w:r w:rsidR="00850EE5" w:rsidRPr="00C43DB5">
        <w:rPr>
          <w:rFonts w:asciiTheme="minorHAnsi" w:hAnsiTheme="minorHAnsi" w:cstheme="minorHAnsi"/>
        </w:rPr>
        <w:t xml:space="preserve">fatto la Commissione propone </w:t>
      </w:r>
      <w:r w:rsidRPr="00C43DB5">
        <w:rPr>
          <w:rFonts w:asciiTheme="minorHAnsi" w:hAnsiTheme="minorHAnsi" w:cstheme="minorHAnsi"/>
        </w:rPr>
        <w:t>una</w:t>
      </w:r>
      <w:r w:rsidR="00850EE5" w:rsidRPr="00C43DB5">
        <w:rPr>
          <w:rFonts w:asciiTheme="minorHAnsi" w:hAnsiTheme="minorHAnsi" w:cstheme="minorHAnsi"/>
        </w:rPr>
        <w:t xml:space="preserve"> nuova</w:t>
      </w:r>
      <w:r w:rsidRPr="00C43DB5">
        <w:rPr>
          <w:rFonts w:asciiTheme="minorHAnsi" w:hAnsiTheme="minorHAnsi" w:cstheme="minorHAnsi"/>
        </w:rPr>
        <w:t xml:space="preserve"> struttura </w:t>
      </w:r>
      <w:r w:rsidR="00850EE5" w:rsidRPr="00C43DB5">
        <w:rPr>
          <w:rFonts w:asciiTheme="minorHAnsi" w:hAnsiTheme="minorHAnsi" w:cstheme="minorHAnsi"/>
        </w:rPr>
        <w:t xml:space="preserve">del </w:t>
      </w:r>
      <w:r w:rsidRPr="00C43DB5">
        <w:rPr>
          <w:rFonts w:asciiTheme="minorHAnsi" w:hAnsiTheme="minorHAnsi" w:cstheme="minorHAnsi"/>
        </w:rPr>
        <w:t>TOLC-S che preved</w:t>
      </w:r>
      <w:r w:rsidR="00360F0F" w:rsidRPr="00C43DB5">
        <w:rPr>
          <w:rFonts w:asciiTheme="minorHAnsi" w:hAnsiTheme="minorHAnsi" w:cstheme="minorHAnsi"/>
        </w:rPr>
        <w:t>e</w:t>
      </w:r>
      <w:r w:rsidRPr="00C43DB5">
        <w:rPr>
          <w:rFonts w:asciiTheme="minorHAnsi" w:hAnsiTheme="minorHAnsi" w:cstheme="minorHAnsi"/>
        </w:rPr>
        <w:t xml:space="preserve"> complessivamente 55 quesiti</w:t>
      </w:r>
      <w:r w:rsidR="00360F0F" w:rsidRPr="00C43DB5">
        <w:rPr>
          <w:rFonts w:asciiTheme="minorHAnsi" w:hAnsiTheme="minorHAnsi" w:cstheme="minorHAnsi"/>
        </w:rPr>
        <w:t>,</w:t>
      </w:r>
      <w:r w:rsidRPr="00C43DB5">
        <w:rPr>
          <w:rFonts w:asciiTheme="minorHAnsi" w:hAnsiTheme="minorHAnsi" w:cstheme="minorHAnsi"/>
        </w:rPr>
        <w:t xml:space="preserve"> </w:t>
      </w:r>
      <w:r w:rsidR="00360F0F" w:rsidRPr="00C43DB5">
        <w:rPr>
          <w:rFonts w:asciiTheme="minorHAnsi" w:hAnsiTheme="minorHAnsi" w:cstheme="minorHAnsi"/>
        </w:rPr>
        <w:t>suddivisi in</w:t>
      </w:r>
    </w:p>
    <w:p w14:paraId="556D3193" w14:textId="440CE0CF" w:rsidR="00850EE5" w:rsidRPr="00C43DB5" w:rsidRDefault="00841AE0" w:rsidP="00C43DB5">
      <w:pPr>
        <w:pStyle w:val="Paragrafoelenco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una sezione di</w:t>
      </w:r>
      <w:r w:rsidR="0082206E" w:rsidRPr="00C43DB5">
        <w:rPr>
          <w:rFonts w:asciiTheme="minorHAnsi" w:hAnsiTheme="minorHAnsi" w:cstheme="minorHAnsi"/>
        </w:rPr>
        <w:t xml:space="preserve"> 20 </w:t>
      </w:r>
      <w:r w:rsidRPr="00C43DB5">
        <w:rPr>
          <w:rFonts w:asciiTheme="minorHAnsi" w:hAnsiTheme="minorHAnsi" w:cstheme="minorHAnsi"/>
        </w:rPr>
        <w:t xml:space="preserve">quesiti </w:t>
      </w:r>
      <w:r w:rsidR="0082206E" w:rsidRPr="00C43DB5">
        <w:rPr>
          <w:rFonts w:asciiTheme="minorHAnsi" w:hAnsiTheme="minorHAnsi" w:cstheme="minorHAnsi"/>
        </w:rPr>
        <w:t>di Matematica di base</w:t>
      </w:r>
      <w:r w:rsidR="00681A23" w:rsidRPr="00C43DB5">
        <w:rPr>
          <w:rFonts w:asciiTheme="minorHAnsi" w:hAnsiTheme="minorHAnsi" w:cstheme="minorHAnsi"/>
        </w:rPr>
        <w:t>;</w:t>
      </w:r>
    </w:p>
    <w:p w14:paraId="4E95CA5A" w14:textId="3D1946E8" w:rsidR="00681A23" w:rsidRPr="00C43DB5" w:rsidRDefault="00841AE0" w:rsidP="00C43DB5">
      <w:pPr>
        <w:pStyle w:val="Paragrafoelenco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una sezione di </w:t>
      </w:r>
      <w:r w:rsidR="0082206E" w:rsidRPr="00C43DB5">
        <w:rPr>
          <w:rFonts w:asciiTheme="minorHAnsi" w:hAnsiTheme="minorHAnsi" w:cstheme="minorHAnsi"/>
        </w:rPr>
        <w:t xml:space="preserve">15 </w:t>
      </w:r>
      <w:r w:rsidR="00850EE5" w:rsidRPr="00C43DB5">
        <w:rPr>
          <w:rFonts w:asciiTheme="minorHAnsi" w:hAnsiTheme="minorHAnsi" w:cstheme="minorHAnsi"/>
        </w:rPr>
        <w:t xml:space="preserve">quesiti </w:t>
      </w:r>
      <w:r w:rsidR="0082206E" w:rsidRPr="00C43DB5">
        <w:rPr>
          <w:rFonts w:asciiTheme="minorHAnsi" w:hAnsiTheme="minorHAnsi" w:cstheme="minorHAnsi"/>
        </w:rPr>
        <w:t>di Ragionamento, Problemi e Comprensione del testo</w:t>
      </w:r>
      <w:r w:rsidR="00681A23" w:rsidRPr="00C43DB5">
        <w:rPr>
          <w:rFonts w:asciiTheme="minorHAnsi" w:hAnsiTheme="minorHAnsi" w:cstheme="minorHAnsi"/>
        </w:rPr>
        <w:t>;</w:t>
      </w:r>
    </w:p>
    <w:p w14:paraId="27563B46" w14:textId="5A372070" w:rsidR="00734B3F" w:rsidRPr="00C43DB5" w:rsidRDefault="00841AE0" w:rsidP="00C43DB5">
      <w:pPr>
        <w:pStyle w:val="Paragrafoelenco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una sezione di Scienze di 20 quesiti complessivi, composta da 4 moduli di 5 quesiti</w:t>
      </w:r>
      <w:r w:rsidR="00681A23" w:rsidRPr="00C43DB5">
        <w:rPr>
          <w:rFonts w:asciiTheme="minorHAnsi" w:hAnsiTheme="minorHAnsi" w:cstheme="minorHAnsi"/>
        </w:rPr>
        <w:t xml:space="preserve">, un modulo </w:t>
      </w:r>
      <w:r w:rsidR="00734B3F" w:rsidRPr="00C43DB5">
        <w:rPr>
          <w:rFonts w:asciiTheme="minorHAnsi" w:hAnsiTheme="minorHAnsi" w:cstheme="minorHAnsi"/>
        </w:rPr>
        <w:t xml:space="preserve">per </w:t>
      </w:r>
      <w:r w:rsidR="00850EE5" w:rsidRPr="00C43DB5">
        <w:rPr>
          <w:rFonts w:asciiTheme="minorHAnsi" w:hAnsiTheme="minorHAnsi" w:cstheme="minorHAnsi"/>
        </w:rPr>
        <w:t>ci</w:t>
      </w:r>
      <w:r w:rsidR="00734B3F" w:rsidRPr="00C43DB5">
        <w:rPr>
          <w:rFonts w:asciiTheme="minorHAnsi" w:hAnsiTheme="minorHAnsi" w:cstheme="minorHAnsi"/>
        </w:rPr>
        <w:t>a</w:t>
      </w:r>
      <w:r w:rsidR="00850EE5" w:rsidRPr="00C43DB5">
        <w:rPr>
          <w:rFonts w:asciiTheme="minorHAnsi" w:hAnsiTheme="minorHAnsi" w:cstheme="minorHAnsi"/>
        </w:rPr>
        <w:t>scuna</w:t>
      </w:r>
      <w:r w:rsidR="00734B3F" w:rsidRPr="00C43DB5">
        <w:rPr>
          <w:rFonts w:asciiTheme="minorHAnsi" w:hAnsiTheme="minorHAnsi" w:cstheme="minorHAnsi"/>
        </w:rPr>
        <w:t xml:space="preserve"> delle</w:t>
      </w:r>
      <w:r w:rsidR="004E0AE9" w:rsidRPr="00C43DB5">
        <w:rPr>
          <w:rFonts w:asciiTheme="minorHAnsi" w:hAnsiTheme="minorHAnsi" w:cstheme="minorHAnsi"/>
        </w:rPr>
        <w:t xml:space="preserve"> disciplin</w:t>
      </w:r>
      <w:r w:rsidR="00734B3F" w:rsidRPr="00C43DB5">
        <w:rPr>
          <w:rFonts w:asciiTheme="minorHAnsi" w:hAnsiTheme="minorHAnsi" w:cstheme="minorHAnsi"/>
        </w:rPr>
        <w:t>e</w:t>
      </w:r>
      <w:r w:rsidR="004E0AE9" w:rsidRPr="00C43DB5">
        <w:rPr>
          <w:rFonts w:asciiTheme="minorHAnsi" w:hAnsiTheme="minorHAnsi" w:cstheme="minorHAnsi"/>
        </w:rPr>
        <w:t xml:space="preserve"> Biologia, Chimica, Fisica e Scienze della terra</w:t>
      </w:r>
      <w:r w:rsidR="00681A23" w:rsidRPr="00C43DB5">
        <w:rPr>
          <w:rFonts w:asciiTheme="minorHAnsi" w:hAnsiTheme="minorHAnsi" w:cstheme="minorHAnsi"/>
        </w:rPr>
        <w:t>.</w:t>
      </w:r>
    </w:p>
    <w:p w14:paraId="5966811E" w14:textId="46AF3B55" w:rsidR="00681A23" w:rsidRPr="00C43DB5" w:rsidRDefault="00681A23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Per ogni prova sostenuta CISIA fornirebbe il punteggio complessivo e </w:t>
      </w:r>
      <w:r w:rsidR="00360F0F" w:rsidRPr="00C43DB5">
        <w:rPr>
          <w:rFonts w:asciiTheme="minorHAnsi" w:hAnsiTheme="minorHAnsi" w:cstheme="minorHAnsi"/>
        </w:rPr>
        <w:t xml:space="preserve">il punteggio </w:t>
      </w:r>
      <w:r w:rsidR="004F7CA5" w:rsidRPr="00C43DB5">
        <w:rPr>
          <w:rFonts w:asciiTheme="minorHAnsi" w:hAnsiTheme="minorHAnsi" w:cstheme="minorHAnsi"/>
        </w:rPr>
        <w:t>per</w:t>
      </w:r>
      <w:r w:rsidRPr="00C43DB5">
        <w:rPr>
          <w:rFonts w:asciiTheme="minorHAnsi" w:hAnsiTheme="minorHAnsi" w:cstheme="minorHAnsi"/>
        </w:rPr>
        <w:t xml:space="preserve"> ogni singola sezione e modulo.</w:t>
      </w:r>
    </w:p>
    <w:p w14:paraId="18ED8FF9" w14:textId="46B01A7C" w:rsidR="00D17A69" w:rsidRPr="00C43DB5" w:rsidRDefault="00DF0DF0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lastRenderedPageBreak/>
        <w:t xml:space="preserve">Tale proposta sembra </w:t>
      </w:r>
      <w:r w:rsidR="007E5201" w:rsidRPr="00C43DB5">
        <w:rPr>
          <w:rFonts w:asciiTheme="minorHAnsi" w:hAnsiTheme="minorHAnsi" w:cstheme="minorHAnsi"/>
        </w:rPr>
        <w:t>risolve</w:t>
      </w:r>
      <w:r w:rsidRPr="00C43DB5">
        <w:rPr>
          <w:rFonts w:asciiTheme="minorHAnsi" w:hAnsiTheme="minorHAnsi" w:cstheme="minorHAnsi"/>
        </w:rPr>
        <w:t>re</w:t>
      </w:r>
      <w:r w:rsidR="007E5201" w:rsidRPr="00C43DB5">
        <w:rPr>
          <w:rFonts w:asciiTheme="minorHAnsi" w:hAnsiTheme="minorHAnsi" w:cstheme="minorHAnsi"/>
        </w:rPr>
        <w:t xml:space="preserve"> tutte le problematiche </w:t>
      </w:r>
      <w:r w:rsidR="00360F0F" w:rsidRPr="00C43DB5">
        <w:rPr>
          <w:rFonts w:asciiTheme="minorHAnsi" w:hAnsiTheme="minorHAnsi" w:cstheme="minorHAnsi"/>
        </w:rPr>
        <w:t xml:space="preserve">precedentemente </w:t>
      </w:r>
      <w:r w:rsidR="007E5201" w:rsidRPr="00C43DB5">
        <w:rPr>
          <w:rFonts w:asciiTheme="minorHAnsi" w:hAnsiTheme="minorHAnsi" w:cstheme="minorHAnsi"/>
        </w:rPr>
        <w:t>indicate. In particolare:</w:t>
      </w:r>
    </w:p>
    <w:p w14:paraId="30A237DC" w14:textId="278C22F8" w:rsidR="007E5201" w:rsidRPr="00C43DB5" w:rsidRDefault="007E5201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il modulo di Biologia verrebbe incontro alle esigenze dei corsi di studio L-32</w:t>
      </w:r>
      <w:r w:rsidR="00D17A69" w:rsidRPr="00C43DB5">
        <w:rPr>
          <w:rFonts w:asciiTheme="minorHAnsi" w:hAnsiTheme="minorHAnsi" w:cstheme="minorHAnsi"/>
        </w:rPr>
        <w:t>;</w:t>
      </w:r>
    </w:p>
    <w:p w14:paraId="144F7755" w14:textId="77777777" w:rsidR="00DF0DF0" w:rsidRPr="00C43DB5" w:rsidRDefault="00DF0DF0" w:rsidP="00DF0DF0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ciascuna disciplina sarebbe oggetto di </w:t>
      </w:r>
      <w:proofErr w:type="gramStart"/>
      <w:r w:rsidRPr="00C43DB5">
        <w:rPr>
          <w:rFonts w:asciiTheme="minorHAnsi" w:hAnsiTheme="minorHAnsi" w:cstheme="minorHAnsi"/>
        </w:rPr>
        <w:t>5</w:t>
      </w:r>
      <w:proofErr w:type="gramEnd"/>
      <w:r w:rsidRPr="00C43DB5">
        <w:rPr>
          <w:rFonts w:asciiTheme="minorHAnsi" w:hAnsiTheme="minorHAnsi" w:cstheme="minorHAnsi"/>
        </w:rPr>
        <w:t xml:space="preserve"> quesiti, un numero più ragionevole per farne oggetto di valutazione;</w:t>
      </w:r>
    </w:p>
    <w:p w14:paraId="420307F7" w14:textId="5D1F903B" w:rsidR="00D17A69" w:rsidRPr="00C43DB5" w:rsidRDefault="00A53FA0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 xml:space="preserve">l’esigenza di flessibilità verrebbe soddisfatta in quanto </w:t>
      </w:r>
      <w:r w:rsidR="00360F0F" w:rsidRPr="00C43DB5">
        <w:rPr>
          <w:rFonts w:asciiTheme="minorHAnsi" w:hAnsiTheme="minorHAnsi" w:cstheme="minorHAnsi"/>
        </w:rPr>
        <w:t>ogni</w:t>
      </w:r>
      <w:r w:rsidR="00D17A69" w:rsidRPr="00C43DB5">
        <w:rPr>
          <w:rFonts w:asciiTheme="minorHAnsi" w:hAnsiTheme="minorHAnsi" w:cstheme="minorHAnsi"/>
        </w:rPr>
        <w:t xml:space="preserve"> cors</w:t>
      </w:r>
      <w:r w:rsidR="00360F0F" w:rsidRPr="00C43DB5">
        <w:rPr>
          <w:rFonts w:asciiTheme="minorHAnsi" w:hAnsiTheme="minorHAnsi" w:cstheme="minorHAnsi"/>
        </w:rPr>
        <w:t>o</w:t>
      </w:r>
      <w:r w:rsidR="00D17A69" w:rsidRPr="00C43DB5">
        <w:rPr>
          <w:rFonts w:asciiTheme="minorHAnsi" w:hAnsiTheme="minorHAnsi" w:cstheme="minorHAnsi"/>
        </w:rPr>
        <w:t xml:space="preserve"> di studio potrebbe</w:t>
      </w:r>
      <w:r w:rsidR="00360F0F" w:rsidRPr="00C43DB5">
        <w:rPr>
          <w:rFonts w:asciiTheme="minorHAnsi" w:hAnsiTheme="minorHAnsi" w:cstheme="minorHAnsi"/>
        </w:rPr>
        <w:t xml:space="preserve"> autonomamente decidere di indicare </w:t>
      </w:r>
      <w:r w:rsidR="004F7CA5" w:rsidRPr="00C43DB5">
        <w:rPr>
          <w:rFonts w:asciiTheme="minorHAnsi" w:hAnsiTheme="minorHAnsi" w:cstheme="minorHAnsi"/>
        </w:rPr>
        <w:t>quali sezioni o moduli</w:t>
      </w:r>
      <w:r w:rsidR="00D17A69" w:rsidRPr="00C43DB5">
        <w:rPr>
          <w:rFonts w:asciiTheme="minorHAnsi" w:hAnsiTheme="minorHAnsi" w:cstheme="minorHAnsi"/>
        </w:rPr>
        <w:t xml:space="preserve"> </w:t>
      </w:r>
      <w:r w:rsidR="004F7CA5" w:rsidRPr="00C43DB5">
        <w:rPr>
          <w:rFonts w:asciiTheme="minorHAnsi" w:hAnsiTheme="minorHAnsi" w:cstheme="minorHAnsi"/>
        </w:rPr>
        <w:t xml:space="preserve">ritiene di </w:t>
      </w:r>
      <w:r w:rsidR="00D17A69" w:rsidRPr="00C43DB5">
        <w:rPr>
          <w:rFonts w:asciiTheme="minorHAnsi" w:hAnsiTheme="minorHAnsi" w:cstheme="minorHAnsi"/>
        </w:rPr>
        <w:t xml:space="preserve">considerare </w:t>
      </w:r>
      <w:r w:rsidR="004F7CA5" w:rsidRPr="00C43DB5">
        <w:rPr>
          <w:rFonts w:asciiTheme="minorHAnsi" w:hAnsiTheme="minorHAnsi" w:cstheme="minorHAnsi"/>
        </w:rPr>
        <w:t xml:space="preserve">al fine di </w:t>
      </w:r>
      <w:r w:rsidR="00D17A69" w:rsidRPr="00C43DB5">
        <w:rPr>
          <w:rFonts w:asciiTheme="minorHAnsi" w:hAnsiTheme="minorHAnsi" w:cstheme="minorHAnsi"/>
        </w:rPr>
        <w:t>formulare le graduatorie e/o assegnare gli OFA</w:t>
      </w:r>
    </w:p>
    <w:p w14:paraId="1CA6BF17" w14:textId="11CEA9B0" w:rsidR="008F3C65" w:rsidRPr="00C43DB5" w:rsidRDefault="008F3C65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si interviene sul modulo di comprensione del testo, per superarne le criticità.</w:t>
      </w:r>
    </w:p>
    <w:p w14:paraId="4050891F" w14:textId="6CA94F56" w:rsidR="008F3C65" w:rsidRPr="00C43DB5" w:rsidRDefault="008F3C65" w:rsidP="004E0AE9">
      <w:pPr>
        <w:spacing w:before="60"/>
        <w:jc w:val="both"/>
        <w:rPr>
          <w:rFonts w:asciiTheme="minorHAnsi" w:hAnsiTheme="minorHAnsi" w:cstheme="minorHAnsi"/>
        </w:rPr>
      </w:pPr>
    </w:p>
    <w:p w14:paraId="365597B8" w14:textId="079C2016" w:rsidR="008F3C65" w:rsidRPr="00C43DB5" w:rsidRDefault="008F3C65" w:rsidP="004E0AE9">
      <w:pPr>
        <w:spacing w:before="60"/>
        <w:jc w:val="both"/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t>La struttura della prova proposta è sintetizzata nella tabella seguente in comparazione con la struttura attuale del TOLC-S</w:t>
      </w:r>
    </w:p>
    <w:p w14:paraId="7FA4FDF8" w14:textId="6C9C0EA3" w:rsidR="00A53FA0" w:rsidRPr="00C43DB5" w:rsidRDefault="00A53FA0">
      <w:pPr>
        <w:rPr>
          <w:rFonts w:asciiTheme="minorHAnsi" w:hAnsiTheme="minorHAnsi" w:cstheme="minorHAnsi"/>
        </w:rPr>
      </w:pPr>
      <w:r w:rsidRPr="00C43DB5">
        <w:rPr>
          <w:rFonts w:asciiTheme="minorHAnsi" w:hAnsiTheme="minorHAnsi" w:cstheme="minorHAnsi"/>
        </w:rPr>
        <w:br w:type="page"/>
      </w:r>
    </w:p>
    <w:p w14:paraId="39EA69A4" w14:textId="77777777" w:rsidR="00C536CD" w:rsidRPr="00C43DB5" w:rsidRDefault="00C536CD">
      <w:pPr>
        <w:spacing w:before="60"/>
        <w:jc w:val="both"/>
        <w:rPr>
          <w:rFonts w:asciiTheme="minorHAnsi" w:hAnsiTheme="minorHAnsi" w:cstheme="minorHAnsi"/>
        </w:rPr>
      </w:pPr>
    </w:p>
    <w:p w14:paraId="77B00967" w14:textId="39505128" w:rsidR="00C536CD" w:rsidRPr="00C43DB5" w:rsidRDefault="00255765" w:rsidP="00695F81">
      <w:pPr>
        <w:jc w:val="center"/>
        <w:rPr>
          <w:rFonts w:asciiTheme="minorHAnsi" w:hAnsiTheme="minorHAnsi" w:cstheme="minorHAnsi"/>
          <w:b/>
          <w:bCs/>
        </w:rPr>
      </w:pPr>
      <w:r w:rsidRPr="00C43DB5">
        <w:rPr>
          <w:rFonts w:asciiTheme="minorHAnsi" w:hAnsiTheme="minorHAnsi" w:cstheme="minorHAnsi"/>
          <w:b/>
          <w:bCs/>
        </w:rPr>
        <w:t>Proposta comparata con la struttura attuale</w:t>
      </w:r>
    </w:p>
    <w:p w14:paraId="3765AD6E" w14:textId="77777777" w:rsidR="00C536CD" w:rsidRPr="00C43DB5" w:rsidRDefault="00C536CD">
      <w:pPr>
        <w:jc w:val="both"/>
        <w:rPr>
          <w:rFonts w:asciiTheme="minorHAnsi" w:hAnsiTheme="minorHAnsi" w:cstheme="minorHAnsi"/>
        </w:rPr>
      </w:pPr>
    </w:p>
    <w:tbl>
      <w:tblPr>
        <w:tblStyle w:val="a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410"/>
        <w:gridCol w:w="285"/>
        <w:gridCol w:w="2310"/>
        <w:gridCol w:w="3358"/>
      </w:tblGrid>
      <w:tr w:rsidR="00C536CD" w:rsidRPr="00C43DB5" w14:paraId="5A85906D" w14:textId="77777777" w:rsidTr="0079369B">
        <w:trPr>
          <w:trHeight w:val="480"/>
        </w:trPr>
        <w:tc>
          <w:tcPr>
            <w:tcW w:w="3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15EC" w14:textId="31E76821" w:rsidR="00C536CD" w:rsidRPr="00C43DB5" w:rsidRDefault="00695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S</w:t>
            </w:r>
            <w:r w:rsidR="00255765" w:rsidRPr="00C43DB5">
              <w:rPr>
                <w:rFonts w:asciiTheme="minorHAnsi" w:hAnsiTheme="minorHAnsi" w:cstheme="minorHAnsi"/>
              </w:rPr>
              <w:t>truttura della prova TOLC-S nel 2022 per l’ingresso nell’anno accademico 2022/23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EB14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5121" w14:textId="33355E14" w:rsidR="00C536CD" w:rsidRPr="00C43DB5" w:rsidRDefault="00695F81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P</w:t>
            </w:r>
            <w:r w:rsidR="00255765" w:rsidRPr="00C43DB5">
              <w:rPr>
                <w:rFonts w:asciiTheme="minorHAnsi" w:hAnsiTheme="minorHAnsi" w:cstheme="minorHAnsi"/>
                <w:b/>
                <w:color w:val="1155CC"/>
              </w:rPr>
              <w:t xml:space="preserve">roposta di prova TOLC-S nel 2023 </w:t>
            </w:r>
          </w:p>
          <w:p w14:paraId="18644A5D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per l’ingresso nell’anno accademico 2023/24</w:t>
            </w:r>
          </w:p>
        </w:tc>
      </w:tr>
      <w:tr w:rsidR="00C536CD" w:rsidRPr="00C43DB5" w14:paraId="420652CE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79BE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Sezioni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4730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n. quesiti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DC1F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6961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Sezioni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7917" w14:textId="77777777" w:rsidR="00C536CD" w:rsidRPr="00C43DB5" w:rsidRDefault="00255765" w:rsidP="0079369B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numero quesiti</w:t>
            </w:r>
          </w:p>
        </w:tc>
      </w:tr>
      <w:tr w:rsidR="00C536CD" w:rsidRPr="00C43DB5" w14:paraId="773AF03C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6E99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Linguaggio matematico di base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9B2E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0501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FAA4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Linguaggio matematico di base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220C" w14:textId="77777777" w:rsidR="00C536CD" w:rsidRPr="00C43DB5" w:rsidRDefault="00255765" w:rsidP="0079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20</w:t>
            </w:r>
          </w:p>
        </w:tc>
      </w:tr>
      <w:tr w:rsidR="00C536CD" w:rsidRPr="00C43DB5" w14:paraId="27667721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1BF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Ragionamento e problemi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4147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948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35A2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 xml:space="preserve">Ragionamento, problemi </w:t>
            </w:r>
          </w:p>
          <w:p w14:paraId="6F013D59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e comprensione del testo</w:t>
            </w:r>
          </w:p>
          <w:p w14:paraId="6FB250F2" w14:textId="77777777" w:rsidR="00C536CD" w:rsidRPr="00C43DB5" w:rsidRDefault="00C536CD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5997" w14:textId="77777777" w:rsidR="00C536CD" w:rsidRPr="00C43DB5" w:rsidRDefault="00255765" w:rsidP="0079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15</w:t>
            </w:r>
          </w:p>
          <w:p w14:paraId="54F1AB21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155CC"/>
              </w:rPr>
            </w:pPr>
          </w:p>
          <w:p w14:paraId="479B2EFD" w14:textId="037E5B72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155CC"/>
              </w:rPr>
            </w:pPr>
          </w:p>
        </w:tc>
      </w:tr>
      <w:tr w:rsidR="00C536CD" w:rsidRPr="00C43DB5" w14:paraId="22F1107B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F0F3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Comprensione del testo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6A73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A542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829C" w14:textId="77777777" w:rsidR="00C536CD" w:rsidRPr="00C43DB5" w:rsidRDefault="00C536CD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65E7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155CC"/>
              </w:rPr>
            </w:pPr>
          </w:p>
        </w:tc>
      </w:tr>
      <w:tr w:rsidR="00C536CD" w:rsidRPr="00C43DB5" w14:paraId="4BBA3141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160E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Scienze di base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C29E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C43DB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15B1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0F86" w14:textId="0E9DE739" w:rsidR="00C536CD" w:rsidRPr="00C43DB5" w:rsidRDefault="009B2D0A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Scienze di Base</w:t>
            </w:r>
          </w:p>
          <w:p w14:paraId="5ABC2EA7" w14:textId="70509FFC" w:rsidR="009B2D0A" w:rsidRPr="00C43DB5" w:rsidRDefault="009B2D0A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(la sezione è composta di 4 moduli indipendenti di 5 quesiti ciascuna; allo studente è assegnata una valutazione per ciascun</w:t>
            </w:r>
            <w:r w:rsidR="00A53FA0" w:rsidRPr="00C43DB5">
              <w:rPr>
                <w:rFonts w:asciiTheme="minorHAnsi" w:hAnsiTheme="minorHAnsi" w:cstheme="minorHAnsi"/>
                <w:b/>
                <w:color w:val="1155CC"/>
              </w:rPr>
              <w:t xml:space="preserve"> modulo</w:t>
            </w:r>
            <w:r w:rsidRPr="00C43DB5">
              <w:rPr>
                <w:rFonts w:asciiTheme="minorHAnsi" w:hAnsiTheme="minorHAnsi" w:cstheme="minorHAnsi"/>
                <w:b/>
                <w:color w:val="1155CC"/>
              </w:rPr>
              <w:t>)</w:t>
            </w:r>
          </w:p>
          <w:p w14:paraId="24FC7AFF" w14:textId="77777777" w:rsidR="00C536CD" w:rsidRPr="00C43DB5" w:rsidRDefault="00C536CD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5119" w14:textId="35B1D42B" w:rsidR="00C536CD" w:rsidRPr="00C43DB5" w:rsidRDefault="0079369B" w:rsidP="0079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20</w:t>
            </w:r>
          </w:p>
          <w:p w14:paraId="04BED200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155CC"/>
              </w:rPr>
            </w:pPr>
          </w:p>
          <w:p w14:paraId="278AFA08" w14:textId="7712DC9C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1155CC"/>
              </w:rPr>
            </w:pPr>
            <w:r w:rsidRPr="00C43DB5">
              <w:rPr>
                <w:rFonts w:asciiTheme="minorHAnsi" w:hAnsiTheme="minorHAnsi" w:cstheme="minorHAnsi"/>
                <w:color w:val="1155CC"/>
              </w:rPr>
              <w:t>la prova presenta</w:t>
            </w:r>
            <w:r w:rsidR="009B2D0A" w:rsidRPr="00C43DB5">
              <w:rPr>
                <w:rFonts w:asciiTheme="minorHAnsi" w:hAnsiTheme="minorHAnsi" w:cstheme="minorHAnsi"/>
                <w:color w:val="1155CC"/>
              </w:rPr>
              <w:t xml:space="preserve"> i moduli di</w:t>
            </w:r>
            <w:r w:rsidR="0079369B" w:rsidRPr="00C43DB5">
              <w:rPr>
                <w:rFonts w:asciiTheme="minorHAnsi" w:hAnsiTheme="minorHAnsi" w:cstheme="minorHAnsi"/>
                <w:color w:val="1155CC"/>
              </w:rPr>
              <w:t>:</w:t>
            </w:r>
          </w:p>
          <w:p w14:paraId="52A9F3E4" w14:textId="77777777" w:rsidR="009B2D0A" w:rsidRPr="00C43DB5" w:rsidRDefault="009B2D0A" w:rsidP="009B2D0A">
            <w:pPr>
              <w:widowControl w:val="0"/>
              <w:rPr>
                <w:rFonts w:asciiTheme="minorHAnsi" w:hAnsiTheme="minorHAnsi" w:cstheme="minorHAnsi"/>
                <w:color w:val="1155CC"/>
              </w:rPr>
            </w:pPr>
            <w:r w:rsidRPr="00C43DB5">
              <w:rPr>
                <w:rFonts w:asciiTheme="minorHAnsi" w:hAnsiTheme="minorHAnsi" w:cstheme="minorHAnsi"/>
                <w:color w:val="1155CC"/>
              </w:rPr>
              <w:t xml:space="preserve">Biologia – composto da </w:t>
            </w:r>
            <w:proofErr w:type="gramStart"/>
            <w:r w:rsidRPr="00C43DB5">
              <w:rPr>
                <w:rFonts w:asciiTheme="minorHAnsi" w:hAnsiTheme="minorHAnsi" w:cstheme="minorHAnsi"/>
                <w:color w:val="1155CC"/>
              </w:rPr>
              <w:t>5</w:t>
            </w:r>
            <w:proofErr w:type="gramEnd"/>
            <w:r w:rsidRPr="00C43DB5">
              <w:rPr>
                <w:rFonts w:asciiTheme="minorHAnsi" w:hAnsiTheme="minorHAnsi" w:cstheme="minorHAnsi"/>
                <w:color w:val="1155CC"/>
              </w:rPr>
              <w:t xml:space="preserve"> quesiti</w:t>
            </w:r>
          </w:p>
          <w:p w14:paraId="5CFE5E66" w14:textId="55796D89" w:rsidR="009B2D0A" w:rsidRPr="00C43DB5" w:rsidRDefault="009B2D0A" w:rsidP="009B2D0A">
            <w:pPr>
              <w:widowControl w:val="0"/>
              <w:rPr>
                <w:rFonts w:asciiTheme="minorHAnsi" w:hAnsiTheme="minorHAnsi" w:cstheme="minorHAnsi"/>
                <w:color w:val="1155CC"/>
              </w:rPr>
            </w:pPr>
            <w:r w:rsidRPr="00C43DB5">
              <w:rPr>
                <w:rFonts w:asciiTheme="minorHAnsi" w:hAnsiTheme="minorHAnsi" w:cstheme="minorHAnsi"/>
                <w:color w:val="1155CC"/>
              </w:rPr>
              <w:t xml:space="preserve">Chimica – composto da </w:t>
            </w:r>
            <w:proofErr w:type="gramStart"/>
            <w:r w:rsidRPr="00C43DB5">
              <w:rPr>
                <w:rFonts w:asciiTheme="minorHAnsi" w:hAnsiTheme="minorHAnsi" w:cstheme="minorHAnsi"/>
                <w:color w:val="1155CC"/>
              </w:rPr>
              <w:t>5</w:t>
            </w:r>
            <w:proofErr w:type="gramEnd"/>
            <w:r w:rsidRPr="00C43DB5">
              <w:rPr>
                <w:rFonts w:asciiTheme="minorHAnsi" w:hAnsiTheme="minorHAnsi" w:cstheme="minorHAnsi"/>
                <w:color w:val="1155CC"/>
              </w:rPr>
              <w:t xml:space="preserve"> quesiti</w:t>
            </w:r>
          </w:p>
          <w:p w14:paraId="25785077" w14:textId="5ED2A4AE" w:rsidR="009B2D0A" w:rsidRPr="00C43DB5" w:rsidRDefault="009B2D0A" w:rsidP="009B2D0A">
            <w:pPr>
              <w:widowControl w:val="0"/>
              <w:rPr>
                <w:rFonts w:asciiTheme="minorHAnsi" w:hAnsiTheme="minorHAnsi" w:cstheme="minorHAnsi"/>
                <w:color w:val="1155CC"/>
              </w:rPr>
            </w:pPr>
            <w:r w:rsidRPr="00C43DB5">
              <w:rPr>
                <w:rFonts w:asciiTheme="minorHAnsi" w:hAnsiTheme="minorHAnsi" w:cstheme="minorHAnsi"/>
                <w:color w:val="1155CC"/>
              </w:rPr>
              <w:t xml:space="preserve">Fisica – composto da </w:t>
            </w:r>
            <w:proofErr w:type="gramStart"/>
            <w:r w:rsidRPr="00C43DB5">
              <w:rPr>
                <w:rFonts w:asciiTheme="minorHAnsi" w:hAnsiTheme="minorHAnsi" w:cstheme="minorHAnsi"/>
                <w:color w:val="1155CC"/>
              </w:rPr>
              <w:t>5</w:t>
            </w:r>
            <w:proofErr w:type="gramEnd"/>
            <w:r w:rsidRPr="00C43DB5">
              <w:rPr>
                <w:rFonts w:asciiTheme="minorHAnsi" w:hAnsiTheme="minorHAnsi" w:cstheme="minorHAnsi"/>
                <w:color w:val="1155CC"/>
              </w:rPr>
              <w:t xml:space="preserve"> quesiti</w:t>
            </w:r>
          </w:p>
          <w:p w14:paraId="13B39DCE" w14:textId="64CD337F" w:rsidR="009B2D0A" w:rsidRPr="00C43DB5" w:rsidRDefault="009B2D0A" w:rsidP="009B2D0A">
            <w:pPr>
              <w:widowControl w:val="0"/>
              <w:rPr>
                <w:rFonts w:asciiTheme="minorHAnsi" w:hAnsiTheme="minorHAnsi" w:cstheme="minorHAnsi"/>
                <w:color w:val="1155CC"/>
              </w:rPr>
            </w:pPr>
            <w:r w:rsidRPr="00C43DB5">
              <w:rPr>
                <w:rFonts w:asciiTheme="minorHAnsi" w:hAnsiTheme="minorHAnsi" w:cstheme="minorHAnsi"/>
                <w:color w:val="1155CC"/>
              </w:rPr>
              <w:t xml:space="preserve">Scienze della Terra – composto da </w:t>
            </w:r>
            <w:proofErr w:type="gramStart"/>
            <w:r w:rsidRPr="00C43DB5">
              <w:rPr>
                <w:rFonts w:asciiTheme="minorHAnsi" w:hAnsiTheme="minorHAnsi" w:cstheme="minorHAnsi"/>
                <w:color w:val="1155CC"/>
              </w:rPr>
              <w:t>5</w:t>
            </w:r>
            <w:proofErr w:type="gramEnd"/>
            <w:r w:rsidRPr="00C43DB5">
              <w:rPr>
                <w:rFonts w:asciiTheme="minorHAnsi" w:hAnsiTheme="minorHAnsi" w:cstheme="minorHAnsi"/>
                <w:color w:val="1155CC"/>
              </w:rPr>
              <w:t xml:space="preserve"> quesiti</w:t>
            </w:r>
          </w:p>
          <w:p w14:paraId="0022A254" w14:textId="29837A13" w:rsidR="00C536CD" w:rsidRPr="00C43DB5" w:rsidRDefault="00C536CD">
            <w:pPr>
              <w:widowControl w:val="0"/>
              <w:rPr>
                <w:rFonts w:asciiTheme="minorHAnsi" w:hAnsiTheme="minorHAnsi" w:cstheme="minorHAnsi"/>
                <w:color w:val="1155CC"/>
              </w:rPr>
            </w:pPr>
          </w:p>
        </w:tc>
      </w:tr>
      <w:tr w:rsidR="00C536CD" w:rsidRPr="00C43DB5" w14:paraId="7B2F4E4F" w14:textId="77777777" w:rsidTr="0079369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620E" w14:textId="7FFB73F2" w:rsidR="00C536CD" w:rsidRPr="00C43DB5" w:rsidRDefault="00A53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  <w:r w:rsidRPr="00C43DB5">
              <w:rPr>
                <w:rFonts w:asciiTheme="minorHAnsi" w:hAnsiTheme="minorHAnsi" w:cstheme="minorHAnsi"/>
                <w:b/>
              </w:rPr>
              <w:t>T</w:t>
            </w:r>
            <w:r w:rsidR="00255765" w:rsidRPr="00C43DB5">
              <w:rPr>
                <w:rFonts w:asciiTheme="minorHAnsi" w:hAnsiTheme="minorHAnsi" w:cstheme="minorHAnsi"/>
                <w:b/>
              </w:rPr>
              <w:t>otale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9A56" w14:textId="77777777" w:rsidR="00C536CD" w:rsidRPr="00C43DB5" w:rsidRDefault="0025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C43DB5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BA9F" w14:textId="77777777" w:rsidR="00C536CD" w:rsidRPr="00C43DB5" w:rsidRDefault="00C5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3662" w14:textId="77777777" w:rsidR="00C536CD" w:rsidRPr="00C43DB5" w:rsidRDefault="00255765">
            <w:pPr>
              <w:widowControl w:val="0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Totale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3887" w14:textId="56C8E9D5" w:rsidR="00C536CD" w:rsidRPr="00C43DB5" w:rsidRDefault="00255765" w:rsidP="0079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1155CC"/>
              </w:rPr>
            </w:pPr>
            <w:r w:rsidRPr="00C43DB5">
              <w:rPr>
                <w:rFonts w:asciiTheme="minorHAnsi" w:hAnsiTheme="minorHAnsi" w:cstheme="minorHAnsi"/>
                <w:b/>
                <w:color w:val="1155CC"/>
              </w:rPr>
              <w:t>5</w:t>
            </w:r>
            <w:r w:rsidR="0079369B" w:rsidRPr="00C43DB5">
              <w:rPr>
                <w:rFonts w:asciiTheme="minorHAnsi" w:hAnsiTheme="minorHAnsi" w:cstheme="minorHAnsi"/>
                <w:b/>
                <w:color w:val="1155CC"/>
              </w:rPr>
              <w:t>5</w:t>
            </w:r>
          </w:p>
        </w:tc>
      </w:tr>
    </w:tbl>
    <w:p w14:paraId="60DC2089" w14:textId="77777777" w:rsidR="00C536CD" w:rsidRPr="00C43DB5" w:rsidRDefault="00C536CD">
      <w:pPr>
        <w:jc w:val="both"/>
        <w:rPr>
          <w:rFonts w:asciiTheme="minorHAnsi" w:hAnsiTheme="minorHAnsi" w:cstheme="minorHAnsi"/>
        </w:rPr>
      </w:pPr>
    </w:p>
    <w:p w14:paraId="77D92113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5FD6D906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5050B696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4379788D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26128DD2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30D7678A" w14:textId="77777777" w:rsidR="00C536CD" w:rsidRPr="00C43DB5" w:rsidRDefault="00C536CD">
      <w:pPr>
        <w:jc w:val="both"/>
        <w:rPr>
          <w:rFonts w:asciiTheme="minorHAnsi" w:hAnsiTheme="minorHAnsi" w:cstheme="minorHAnsi"/>
          <w:b/>
        </w:rPr>
      </w:pPr>
    </w:p>
    <w:p w14:paraId="52ABE017" w14:textId="77777777" w:rsidR="00C536CD" w:rsidRPr="00C43DB5" w:rsidRDefault="00C536CD">
      <w:pPr>
        <w:jc w:val="both"/>
        <w:rPr>
          <w:rFonts w:asciiTheme="minorHAnsi" w:hAnsiTheme="minorHAnsi" w:cstheme="minorHAnsi"/>
        </w:rPr>
      </w:pPr>
    </w:p>
    <w:sectPr w:rsidR="00C536CD" w:rsidRPr="00C43DB5"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D71F" w14:textId="77777777" w:rsidR="003E13B4" w:rsidRDefault="003E13B4">
      <w:r>
        <w:separator/>
      </w:r>
    </w:p>
  </w:endnote>
  <w:endnote w:type="continuationSeparator" w:id="0">
    <w:p w14:paraId="6105D3B4" w14:textId="77777777" w:rsidR="003E13B4" w:rsidRDefault="003E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6FC4" w14:textId="77777777" w:rsidR="00C536CD" w:rsidRDefault="00255765">
    <w:pPr>
      <w:jc w:val="right"/>
    </w:pPr>
    <w:r>
      <w:fldChar w:fldCharType="begin"/>
    </w:r>
    <w:r>
      <w:instrText>PAGE</w:instrText>
    </w:r>
    <w:r>
      <w:fldChar w:fldCharType="separate"/>
    </w:r>
    <w:r w:rsidR="00762D3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73ED" w14:textId="77777777" w:rsidR="00C536CD" w:rsidRDefault="00C536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2881" w14:textId="77777777" w:rsidR="003E13B4" w:rsidRDefault="003E13B4">
      <w:r>
        <w:separator/>
      </w:r>
    </w:p>
  </w:footnote>
  <w:footnote w:type="continuationSeparator" w:id="0">
    <w:p w14:paraId="3A120A1D" w14:textId="77777777" w:rsidR="003E13B4" w:rsidRDefault="003E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9D5"/>
    <w:multiLevelType w:val="hybridMultilevel"/>
    <w:tmpl w:val="E10E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2A51"/>
    <w:multiLevelType w:val="hybridMultilevel"/>
    <w:tmpl w:val="9496BA5A"/>
    <w:lvl w:ilvl="0" w:tplc="818AEB1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4015">
    <w:abstractNumId w:val="1"/>
  </w:num>
  <w:num w:numId="2" w16cid:durableId="15353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CD"/>
    <w:rsid w:val="001D0172"/>
    <w:rsid w:val="00255765"/>
    <w:rsid w:val="00273770"/>
    <w:rsid w:val="00360F0F"/>
    <w:rsid w:val="003E13B4"/>
    <w:rsid w:val="004528A1"/>
    <w:rsid w:val="004E0AE9"/>
    <w:rsid w:val="004F7CA5"/>
    <w:rsid w:val="00681A23"/>
    <w:rsid w:val="00695F81"/>
    <w:rsid w:val="00734B3F"/>
    <w:rsid w:val="00740A07"/>
    <w:rsid w:val="00762D30"/>
    <w:rsid w:val="0079369B"/>
    <w:rsid w:val="00793C56"/>
    <w:rsid w:val="007E5201"/>
    <w:rsid w:val="00807DA3"/>
    <w:rsid w:val="0082206E"/>
    <w:rsid w:val="00841AE0"/>
    <w:rsid w:val="00850EE5"/>
    <w:rsid w:val="008F3C65"/>
    <w:rsid w:val="009B2D0A"/>
    <w:rsid w:val="00A53FA0"/>
    <w:rsid w:val="00A642DD"/>
    <w:rsid w:val="00AE2842"/>
    <w:rsid w:val="00B376B7"/>
    <w:rsid w:val="00B9633F"/>
    <w:rsid w:val="00BA0D13"/>
    <w:rsid w:val="00C43DB5"/>
    <w:rsid w:val="00C536CD"/>
    <w:rsid w:val="00D17A69"/>
    <w:rsid w:val="00D846D8"/>
    <w:rsid w:val="00DE3886"/>
    <w:rsid w:val="00DE55C7"/>
    <w:rsid w:val="00DF0DF0"/>
    <w:rsid w:val="00F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D18C"/>
  <w15:docId w15:val="{07CCA39A-1297-054B-9B9E-A561DFC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0658B"/>
    <w:pPr>
      <w:ind w:left="720"/>
      <w:contextualSpacing/>
    </w:pPr>
  </w:style>
  <w:style w:type="paragraph" w:styleId="Revisione">
    <w:name w:val="Revision"/>
    <w:hidden/>
    <w:uiPriority w:val="99"/>
    <w:semiHidden/>
    <w:rsid w:val="00EF3414"/>
  </w:style>
  <w:style w:type="character" w:styleId="Rimandocommento">
    <w:name w:val="annotation reference"/>
    <w:basedOn w:val="Carpredefinitoparagrafo"/>
    <w:uiPriority w:val="99"/>
    <w:semiHidden/>
    <w:unhideWhenUsed/>
    <w:rsid w:val="00EF34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34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34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34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341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P+LAY7hwI2bvE84Nw0tJ4uSrw==">AMUW2mVW3cNw4Ty1bwXSiWmQtUiTjvxvGyI+tQtsQvdvvMLIaS7lKVZkFeEACUz0b5dHvcw/RFawZZoy0eWbMJsPDKLhvJt+qVmvme1mT0z7b1n7f40OXO8=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D4123A-2A3D-4002-83E2-D203BF4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4041</Characters>
  <Application>Microsoft Office Word</Application>
  <DocSecurity>0</DocSecurity>
  <Lines>64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Settimio Mobilio</cp:lastModifiedBy>
  <cp:revision>2</cp:revision>
  <dcterms:created xsi:type="dcterms:W3CDTF">2022-07-16T16:06:00Z</dcterms:created>
  <dcterms:modified xsi:type="dcterms:W3CDTF">2022-07-16T16:06:00Z</dcterms:modified>
</cp:coreProperties>
</file>